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BVGE 2008/8 vom 8. März 2007</w:t>
      </w:r>
    </w:p>
    <w:p>
      <w:r>
        <w:t>Bundesverwaltungsgericht, 2007-03-08, FR</w:t>
      </w:r>
    </w:p>
    <w:p>
      <w:r>
        <w:rPr>
          <w:b/>
        </w:rPr>
        <w:t xml:space="preserve">Quelle: </w:t>
      </w:r>
      <w:r>
        <w:t>https://mcp.opencaselaw.ch/entscheid/bvger_BVGE 2008_8</w:t>
      </w:r>
    </w:p>
    <w:p>
      <w:r>
        <w:t>FR: TAF BVGE 2008/8 du 8 mars 2007</w:t>
      </w:r>
    </w:p>
    <w:p>
      <w:r>
        <w:t>IT: TAF BVGE 2008/8 del 8 marzo 2007</w:t>
      </w:r>
    </w:p>
    <w:p>
      <w:pPr>
        <w:pStyle w:val="Heading2"/>
      </w:pPr>
      <w:r>
        <w:t>Regeste</w:t>
      </w:r>
    </w:p>
    <w:p>
      <w:r>
        <w:t>Öffentliche Werke - Energie ? Verkehr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Offenkundigkeit des Mangels und damit Nichtigkeit der Befristung der Betriebsbewilligung verneint (E. 6.2-6.3).</w:t>
      </w:r>
    </w:p>
    <w:p>
      <w:r>
        <w:rPr>
          <w:b/>
        </w:rPr>
        <w:t>E. 2</w:t>
      </w:r>
    </w:p>
    <w:p>
      <w:r>
        <w:t>Da die Befristung i. S. von Art. 21 Abs. 2 KEG weder einen den Bau betreffenden Aspekt noch ein eigentliches betriebliches Element darstellt, fallen damit zusammenhängende Anpassungen nicht unter Art. 65 KEG (E. 10.4).</w:t>
      </w:r>
    </w:p>
    <w:p>
      <w:r>
        <w:rPr>
          <w:b/>
        </w:rPr>
        <w:t>E. 3</w:t>
      </w:r>
    </w:p>
    <w:p>
      <w:r>
        <w:t>Renvoi de l'affaire à l'autorité inférieure, afin que celle-ci traite la demande d'annulation de la limite temporelle selon les règles applicables au nouvel examen, voire à la révocation (consid. 11-12). Regesto in italiano Soppressione a posteriori della limitazione temporale della licenza d'esercizio d'una centrale nucleare. Procedura. Art. 21 e art. 65 LENu. Art. 40 OENu.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